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09D4" w14:textId="77777777" w:rsidR="000B310F" w:rsidRDefault="000B310F" w:rsidP="009C253A">
      <w:pPr>
        <w:jc w:val="both"/>
        <w:rPr>
          <w:rFonts w:cstheme="minorHAnsi"/>
        </w:rPr>
      </w:pPr>
    </w:p>
    <w:tbl>
      <w:tblPr>
        <w:tblpPr w:leftFromText="180" w:rightFromText="180" w:horzAnchor="margin" w:tblpY="-723"/>
        <w:tblW w:w="0" w:type="auto"/>
        <w:tblLayout w:type="fixed"/>
        <w:tblLook w:val="0000" w:firstRow="0" w:lastRow="0" w:firstColumn="0" w:lastColumn="0" w:noHBand="0" w:noVBand="0"/>
      </w:tblPr>
      <w:tblGrid>
        <w:gridCol w:w="795"/>
        <w:gridCol w:w="4240"/>
      </w:tblGrid>
      <w:tr w:rsidR="000B310F" w14:paraId="6AC03833" w14:textId="77777777" w:rsidTr="000B310F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795" w:type="dxa"/>
          </w:tcPr>
          <w:p w14:paraId="71F6D419" w14:textId="77777777" w:rsidR="000B310F" w:rsidRDefault="000B310F" w:rsidP="005140BE">
            <w:pPr>
              <w:rPr>
                <w:rFonts w:ascii="Calibri" w:hAnsi="Calibri" w:cs="Calibri"/>
              </w:rPr>
            </w:pPr>
          </w:p>
          <w:p w14:paraId="2533B55A" w14:textId="77777777" w:rsidR="000B310F" w:rsidRDefault="000B310F" w:rsidP="005140BE">
            <w:pPr>
              <w:rPr>
                <w:rFonts w:ascii="Calibri" w:hAnsi="Calibri" w:cs="Calibri"/>
              </w:rPr>
            </w:pPr>
          </w:p>
          <w:p w14:paraId="4BC0F152" w14:textId="77777777" w:rsidR="000B310F" w:rsidRDefault="000B310F" w:rsidP="005140BE">
            <w:pPr>
              <w:rPr>
                <w:rFonts w:ascii="Calibri" w:hAnsi="Calibri" w:cs="Calibri"/>
              </w:rPr>
            </w:pPr>
          </w:p>
        </w:tc>
        <w:bookmarkStart w:id="0" w:name="_MON_1131962777"/>
        <w:bookmarkEnd w:id="0"/>
        <w:tc>
          <w:tcPr>
            <w:tcW w:w="4240" w:type="dxa"/>
          </w:tcPr>
          <w:p w14:paraId="43F6B666" w14:textId="77777777" w:rsidR="000B310F" w:rsidRPr="000B310F" w:rsidRDefault="000B310F" w:rsidP="000B310F">
            <w:pPr>
              <w:spacing w:line="240" w:lineRule="auto"/>
              <w:jc w:val="center"/>
              <w:rPr>
                <w:rFonts w:cstheme="minorHAnsi"/>
              </w:rPr>
            </w:pPr>
            <w:r w:rsidRPr="000B310F">
              <w:rPr>
                <w:rFonts w:cstheme="minorHAnsi"/>
              </w:rPr>
              <w:object w:dxaOrig="773" w:dyaOrig="1017" w14:anchorId="43B301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6pt" o:ole="" fillcolor="window">
                  <v:imagedata r:id="rId4" o:title=""/>
                </v:shape>
                <o:OLEObject Type="Embed" ProgID="Word.Picture.8" ShapeID="_x0000_i1025" DrawAspect="Content" ObjectID="_1795927674" r:id="rId5"/>
              </w:object>
            </w:r>
          </w:p>
        </w:tc>
      </w:tr>
      <w:bookmarkStart w:id="1" w:name="_MON_1131962790"/>
      <w:bookmarkStart w:id="2" w:name="_MON_1131962795"/>
      <w:bookmarkEnd w:id="1"/>
      <w:bookmarkEnd w:id="2"/>
      <w:tr w:rsidR="000B310F" w14:paraId="5133A3EA" w14:textId="77777777" w:rsidTr="000B310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795" w:type="dxa"/>
          </w:tcPr>
          <w:p w14:paraId="6B38F1DD" w14:textId="31FE1263" w:rsidR="000B310F" w:rsidRDefault="000B310F" w:rsidP="005140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object w:dxaOrig="772" w:dyaOrig="953" w14:anchorId="644B2602">
                <v:shape id="_x0000_i1035" type="#_x0000_t75" style="width:26.25pt;height:32.25pt" o:ole="" fillcolor="window">
                  <v:imagedata r:id="rId6" o:title=""/>
                </v:shape>
                <o:OLEObject Type="Embed" ProgID="Word.Picture.8" ShapeID="_x0000_i1035" DrawAspect="Content" ObjectID="_1795927675" r:id="rId7"/>
              </w:object>
            </w:r>
          </w:p>
          <w:p w14:paraId="02A3965D" w14:textId="291D6242" w:rsidR="000B310F" w:rsidRDefault="000B310F" w:rsidP="005140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0" w:type="dxa"/>
          </w:tcPr>
          <w:p w14:paraId="58CC10A0" w14:textId="77777777" w:rsidR="000B310F" w:rsidRPr="000B310F" w:rsidRDefault="000B310F" w:rsidP="000B310F">
            <w:pPr>
              <w:pStyle w:val="Naslov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0B310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REPUBLIKA HRVATSKA</w:t>
            </w:r>
          </w:p>
          <w:p w14:paraId="27A6B5BA" w14:textId="77777777" w:rsidR="000B310F" w:rsidRPr="000B310F" w:rsidRDefault="000B310F" w:rsidP="000B310F">
            <w:pPr>
              <w:pStyle w:val="Naslov2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0B310F">
              <w:rPr>
                <w:rFonts w:asciiTheme="minorHAnsi" w:hAnsiTheme="minorHAnsi" w:cstheme="minorHAnsi"/>
                <w:bCs/>
                <w:color w:val="auto"/>
                <w:sz w:val="22"/>
              </w:rPr>
              <w:t>BJELOVARSKO-BILOGORSKA ŽUPANIJA</w:t>
            </w:r>
          </w:p>
          <w:p w14:paraId="419664C1" w14:textId="77777777" w:rsidR="000B310F" w:rsidRPr="000B310F" w:rsidRDefault="000B310F" w:rsidP="000B310F">
            <w:pPr>
              <w:pStyle w:val="Naslov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0B310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GRAD ČAZMA</w:t>
            </w:r>
          </w:p>
          <w:p w14:paraId="41A42531" w14:textId="77777777" w:rsidR="000B310F" w:rsidRPr="000B310F" w:rsidRDefault="000B310F" w:rsidP="000B310F">
            <w:pPr>
              <w:pStyle w:val="Naslov7"/>
              <w:spacing w:before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B310F">
              <w:rPr>
                <w:rFonts w:asciiTheme="minorHAnsi" w:hAnsiTheme="minorHAnsi" w:cstheme="minorHAnsi"/>
                <w:bCs/>
                <w:i w:val="0"/>
                <w:iCs w:val="0"/>
                <w:color w:val="auto"/>
              </w:rPr>
              <w:t>GRADSKO VIJEĆE</w:t>
            </w:r>
          </w:p>
        </w:tc>
      </w:tr>
    </w:tbl>
    <w:p w14:paraId="157B5BC9" w14:textId="77777777" w:rsidR="000B310F" w:rsidRDefault="000B310F" w:rsidP="009C253A">
      <w:pPr>
        <w:jc w:val="both"/>
        <w:rPr>
          <w:rFonts w:cstheme="minorHAnsi"/>
        </w:rPr>
      </w:pPr>
    </w:p>
    <w:p w14:paraId="291A5FDD" w14:textId="77777777" w:rsidR="000B310F" w:rsidRDefault="000B310F" w:rsidP="009C253A">
      <w:pPr>
        <w:jc w:val="both"/>
        <w:rPr>
          <w:rFonts w:cstheme="minorHAnsi"/>
        </w:rPr>
      </w:pPr>
    </w:p>
    <w:p w14:paraId="6997ECE2" w14:textId="77777777" w:rsidR="000B310F" w:rsidRDefault="000B310F" w:rsidP="009C253A">
      <w:pPr>
        <w:jc w:val="both"/>
        <w:rPr>
          <w:rFonts w:cstheme="minorHAnsi"/>
        </w:rPr>
      </w:pPr>
    </w:p>
    <w:p w14:paraId="15F36FDF" w14:textId="77777777" w:rsidR="000B310F" w:rsidRDefault="000B310F" w:rsidP="009C253A">
      <w:pPr>
        <w:jc w:val="both"/>
        <w:rPr>
          <w:rFonts w:cstheme="minorHAnsi"/>
        </w:rPr>
      </w:pPr>
    </w:p>
    <w:p w14:paraId="3A8921F6" w14:textId="77777777" w:rsidR="000B310F" w:rsidRPr="004B4FBF" w:rsidRDefault="000B310F" w:rsidP="000B31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KLASA: </w:t>
      </w:r>
      <w:r>
        <w:rPr>
          <w:rFonts w:eastAsia="Times New Roman" w:cstheme="minorHAnsi"/>
          <w:color w:val="000000"/>
          <w:lang w:eastAsia="hr-HR"/>
        </w:rPr>
        <w:t>400-01/24-01/01</w:t>
      </w:r>
    </w:p>
    <w:p w14:paraId="39E89EA1" w14:textId="77777777" w:rsidR="000B310F" w:rsidRPr="004B4FBF" w:rsidRDefault="000B310F" w:rsidP="000B31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URBROJ</w:t>
      </w:r>
      <w:r w:rsidRPr="00275A75">
        <w:rPr>
          <w:rFonts w:eastAsia="Times New Roman" w:cstheme="minorHAnsi"/>
          <w:color w:val="000000"/>
          <w:lang w:eastAsia="hr-HR"/>
        </w:rPr>
        <w:t>:</w:t>
      </w:r>
      <w:r>
        <w:rPr>
          <w:rFonts w:eastAsia="Times New Roman" w:cstheme="minorHAnsi"/>
          <w:color w:val="000000"/>
          <w:lang w:eastAsia="hr-HR"/>
        </w:rPr>
        <w:t xml:space="preserve"> 2103-2-01/01-24-5</w:t>
      </w:r>
    </w:p>
    <w:p w14:paraId="2C1A4C2C" w14:textId="77777777" w:rsidR="000B310F" w:rsidRPr="004B4FBF" w:rsidRDefault="000B310F" w:rsidP="000B31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>Čazma</w:t>
      </w:r>
      <w:r w:rsidRPr="004B4FBF">
        <w:rPr>
          <w:rFonts w:eastAsia="Times New Roman" w:cstheme="minorHAnsi"/>
          <w:color w:val="000000"/>
          <w:lang w:eastAsia="hr-HR"/>
        </w:rPr>
        <w:t xml:space="preserve">, </w:t>
      </w:r>
      <w:r>
        <w:rPr>
          <w:rFonts w:eastAsia="Times New Roman" w:cstheme="minorHAnsi"/>
          <w:color w:val="000000"/>
          <w:lang w:eastAsia="hr-HR"/>
        </w:rPr>
        <w:t>12</w:t>
      </w:r>
      <w:r w:rsidRPr="004B4FBF">
        <w:rPr>
          <w:rFonts w:eastAsia="Times New Roman" w:cstheme="minorHAnsi"/>
          <w:color w:val="000000"/>
          <w:lang w:eastAsia="hr-HR"/>
        </w:rPr>
        <w:t xml:space="preserve">. </w:t>
      </w:r>
      <w:r>
        <w:rPr>
          <w:rFonts w:eastAsia="Times New Roman" w:cstheme="minorHAnsi"/>
          <w:color w:val="000000"/>
          <w:lang w:eastAsia="hr-HR"/>
        </w:rPr>
        <w:t>prosinca</w:t>
      </w:r>
      <w:r w:rsidRPr="004B4FBF">
        <w:rPr>
          <w:rFonts w:eastAsia="Times New Roman" w:cstheme="minorHAnsi"/>
          <w:color w:val="000000"/>
          <w:lang w:eastAsia="hr-HR"/>
        </w:rPr>
        <w:t xml:space="preserve"> 202</w:t>
      </w:r>
      <w:r>
        <w:rPr>
          <w:rFonts w:eastAsia="Times New Roman" w:cstheme="minorHAnsi"/>
          <w:color w:val="000000"/>
          <w:lang w:eastAsia="hr-HR"/>
        </w:rPr>
        <w:t>4</w:t>
      </w:r>
      <w:r w:rsidRPr="004B4FBF">
        <w:rPr>
          <w:rFonts w:eastAsia="Times New Roman" w:cstheme="minorHAnsi"/>
          <w:color w:val="000000"/>
          <w:lang w:eastAsia="hr-HR"/>
        </w:rPr>
        <w:t>.</w:t>
      </w:r>
    </w:p>
    <w:p w14:paraId="1C94359D" w14:textId="77777777" w:rsidR="000B310F" w:rsidRDefault="000B310F" w:rsidP="009C253A">
      <w:pPr>
        <w:jc w:val="both"/>
        <w:rPr>
          <w:rFonts w:cstheme="minorHAnsi"/>
        </w:rPr>
      </w:pPr>
    </w:p>
    <w:p w14:paraId="5B6F1FBB" w14:textId="3717869E" w:rsidR="009C253A" w:rsidRPr="00275A75" w:rsidRDefault="009C253A" w:rsidP="009C253A">
      <w:pPr>
        <w:jc w:val="both"/>
        <w:rPr>
          <w:rFonts w:cstheme="minorHAnsi"/>
        </w:rPr>
      </w:pPr>
      <w:r w:rsidRPr="00275A75">
        <w:rPr>
          <w:rFonts w:cstheme="minorHAnsi"/>
        </w:rPr>
        <w:t xml:space="preserve">Na temelju odredbe članka 82. stavka 2. Pravilnika o proračunskom računovodstvu i računskom planu („Narodne novine“ br. 124/14, 115/15, 87/16, 3/18, 126/19 i 108/20) i članka 34. Statuta Grada Čazme (Službeni vjesnik br. 13/21) Gradsko vijeće Grada Čazme, na </w:t>
      </w:r>
      <w:r w:rsidR="00BD48C6">
        <w:rPr>
          <w:rFonts w:cstheme="minorHAnsi"/>
        </w:rPr>
        <w:t>23</w:t>
      </w:r>
      <w:r w:rsidRPr="00275A75">
        <w:rPr>
          <w:rFonts w:cstheme="minorHAnsi"/>
        </w:rPr>
        <w:t xml:space="preserve">. sjednici održanoj dana </w:t>
      </w:r>
      <w:r w:rsidR="00BD48C6">
        <w:rPr>
          <w:rFonts w:cstheme="minorHAnsi"/>
        </w:rPr>
        <w:t>12</w:t>
      </w:r>
      <w:r w:rsidR="001B0998">
        <w:rPr>
          <w:rFonts w:cstheme="minorHAnsi"/>
        </w:rPr>
        <w:t>.</w:t>
      </w:r>
      <w:r w:rsidR="00275A75">
        <w:rPr>
          <w:rFonts w:cstheme="minorHAnsi"/>
        </w:rPr>
        <w:t xml:space="preserve"> </w:t>
      </w:r>
      <w:r w:rsidR="00E83042">
        <w:rPr>
          <w:rFonts w:cstheme="minorHAnsi"/>
        </w:rPr>
        <w:t>prosinca</w:t>
      </w:r>
      <w:r w:rsidR="00275A75">
        <w:rPr>
          <w:rFonts w:cstheme="minorHAnsi"/>
        </w:rPr>
        <w:t xml:space="preserve"> </w:t>
      </w:r>
      <w:r w:rsidRPr="00275A75">
        <w:rPr>
          <w:rFonts w:cstheme="minorHAnsi"/>
        </w:rPr>
        <w:t>202</w:t>
      </w:r>
      <w:r w:rsidR="00BD48C6">
        <w:rPr>
          <w:rFonts w:cstheme="minorHAnsi"/>
        </w:rPr>
        <w:t>4</w:t>
      </w:r>
      <w:r w:rsidRPr="00275A75">
        <w:rPr>
          <w:rFonts w:cstheme="minorHAnsi"/>
        </w:rPr>
        <w:t xml:space="preserve">. godine, donijelo je </w:t>
      </w:r>
    </w:p>
    <w:p w14:paraId="03E30DA8" w14:textId="32C929EE" w:rsidR="009C253A" w:rsidRPr="00275A75" w:rsidRDefault="009C253A" w:rsidP="009C253A">
      <w:pPr>
        <w:jc w:val="center"/>
        <w:rPr>
          <w:rFonts w:cstheme="minorHAnsi"/>
        </w:rPr>
      </w:pPr>
      <w:r w:rsidRPr="00275A75">
        <w:rPr>
          <w:rFonts w:cstheme="minorHAnsi"/>
        </w:rPr>
        <w:t>O D L U K U</w:t>
      </w:r>
    </w:p>
    <w:p w14:paraId="7A62467A" w14:textId="78ECF925" w:rsidR="009C253A" w:rsidRPr="00275A75" w:rsidRDefault="009C253A" w:rsidP="009C253A">
      <w:pPr>
        <w:jc w:val="center"/>
        <w:rPr>
          <w:rFonts w:cstheme="minorHAnsi"/>
        </w:rPr>
      </w:pPr>
      <w:r w:rsidRPr="00275A75">
        <w:rPr>
          <w:rFonts w:cstheme="minorHAnsi"/>
        </w:rPr>
        <w:t>o sukcesivnom pokriću manjka iz prethodnih godina</w:t>
      </w:r>
    </w:p>
    <w:p w14:paraId="361F0225" w14:textId="77777777" w:rsidR="009C253A" w:rsidRPr="00275A75" w:rsidRDefault="009C253A" w:rsidP="009C253A">
      <w:pPr>
        <w:jc w:val="center"/>
        <w:rPr>
          <w:rFonts w:cstheme="minorHAnsi"/>
        </w:rPr>
      </w:pPr>
    </w:p>
    <w:p w14:paraId="7A413633" w14:textId="2C169208" w:rsidR="009C253A" w:rsidRPr="00275A75" w:rsidRDefault="009C253A" w:rsidP="009C253A">
      <w:pPr>
        <w:jc w:val="center"/>
        <w:rPr>
          <w:rFonts w:cstheme="minorHAnsi"/>
        </w:rPr>
      </w:pPr>
      <w:r w:rsidRPr="00275A75">
        <w:rPr>
          <w:rFonts w:cstheme="minorHAnsi"/>
        </w:rPr>
        <w:t>Članak 1.</w:t>
      </w:r>
    </w:p>
    <w:p w14:paraId="2BD76893" w14:textId="33EE3B1C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Ovom Odlukom utvrđuju se mjere u cilju naplate prihoda i racionalizacije troškova, dinamika i izvori financijskih sredstava za pokriće manjka prihoda i primitaka nad izvršenim rashodima i izdacima </w:t>
      </w:r>
      <w:r w:rsidR="00E32B91">
        <w:rPr>
          <w:rFonts w:eastAsia="Times New Roman" w:cstheme="minorHAnsi"/>
          <w:color w:val="000000"/>
          <w:lang w:eastAsia="hr-HR"/>
        </w:rPr>
        <w:t>iz prethodnih godina zaključno sa</w:t>
      </w:r>
      <w:r w:rsidRPr="004B4FBF">
        <w:rPr>
          <w:rFonts w:eastAsia="Times New Roman" w:cstheme="minorHAnsi"/>
          <w:color w:val="000000"/>
          <w:lang w:eastAsia="hr-HR"/>
        </w:rPr>
        <w:t xml:space="preserve"> </w:t>
      </w:r>
      <w:r w:rsidR="00E32B91">
        <w:rPr>
          <w:rFonts w:eastAsia="Times New Roman" w:cstheme="minorHAnsi"/>
          <w:color w:val="000000"/>
          <w:lang w:eastAsia="hr-HR"/>
        </w:rPr>
        <w:t>31.</w:t>
      </w:r>
      <w:r w:rsidRPr="004B4FBF">
        <w:rPr>
          <w:rFonts w:eastAsia="Times New Roman" w:cstheme="minorHAnsi"/>
          <w:color w:val="000000"/>
          <w:lang w:eastAsia="hr-HR"/>
        </w:rPr>
        <w:t xml:space="preserve"> prosinca 20</w:t>
      </w:r>
      <w:r w:rsidR="00E43605" w:rsidRPr="00275A75">
        <w:rPr>
          <w:rFonts w:eastAsia="Times New Roman" w:cstheme="minorHAnsi"/>
          <w:color w:val="000000"/>
          <w:lang w:eastAsia="hr-HR"/>
        </w:rPr>
        <w:t>2</w:t>
      </w:r>
      <w:r w:rsidR="00BD48C6">
        <w:rPr>
          <w:rFonts w:eastAsia="Times New Roman" w:cstheme="minorHAnsi"/>
          <w:color w:val="000000"/>
          <w:lang w:eastAsia="hr-HR"/>
        </w:rPr>
        <w:t>3</w:t>
      </w:r>
      <w:r w:rsidRPr="004B4FBF">
        <w:rPr>
          <w:rFonts w:eastAsia="Times New Roman" w:cstheme="minorHAnsi"/>
          <w:color w:val="000000"/>
          <w:lang w:eastAsia="hr-HR"/>
        </w:rPr>
        <w:t>. godine.</w:t>
      </w:r>
    </w:p>
    <w:p w14:paraId="01D3AB0B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2.</w:t>
      </w:r>
    </w:p>
    <w:p w14:paraId="30557E18" w14:textId="46D608D5" w:rsidR="004B4FBF" w:rsidRPr="004B4FBF" w:rsidRDefault="004D1CE0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Na temelju podataka iz financijskih izvješća Grada Čazme o izvršenju 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proračuna </w:t>
      </w:r>
      <w:r w:rsidR="00275A75">
        <w:rPr>
          <w:rFonts w:eastAsia="Times New Roman" w:cstheme="minorHAnsi"/>
          <w:color w:val="000000"/>
          <w:lang w:eastAsia="hr-HR"/>
        </w:rPr>
        <w:t xml:space="preserve">za </w:t>
      </w:r>
      <w:r w:rsidR="004B4FBF" w:rsidRPr="004B4FBF">
        <w:rPr>
          <w:rFonts w:eastAsia="Times New Roman" w:cstheme="minorHAnsi"/>
          <w:color w:val="000000"/>
          <w:lang w:eastAsia="hr-HR"/>
        </w:rPr>
        <w:t>202</w:t>
      </w:r>
      <w:r w:rsidR="00BD48C6">
        <w:rPr>
          <w:rFonts w:eastAsia="Times New Roman" w:cstheme="minorHAnsi"/>
          <w:color w:val="000000"/>
          <w:lang w:eastAsia="hr-HR"/>
        </w:rPr>
        <w:t>3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. godinu utvrđen je proračunski manjak u iznosu od </w:t>
      </w:r>
      <w:r w:rsidR="00BD48C6">
        <w:rPr>
          <w:rFonts w:eastAsia="Times New Roman" w:cstheme="minorHAnsi"/>
          <w:color w:val="000000"/>
          <w:lang w:eastAsia="hr-HR"/>
        </w:rPr>
        <w:t xml:space="preserve">410.666,59 </w:t>
      </w:r>
      <w:r w:rsidR="005F1BBD">
        <w:rPr>
          <w:rFonts w:eastAsia="Times New Roman" w:cstheme="minorHAnsi"/>
          <w:color w:val="000000"/>
          <w:lang w:eastAsia="hr-HR"/>
        </w:rPr>
        <w:t>EUR</w:t>
      </w:r>
      <w:r w:rsidR="00045DEC">
        <w:rPr>
          <w:rFonts w:eastAsia="Times New Roman" w:cstheme="minorHAnsi"/>
          <w:color w:val="000000"/>
          <w:lang w:eastAsia="hr-HR"/>
        </w:rPr>
        <w:t>.</w:t>
      </w:r>
    </w:p>
    <w:p w14:paraId="5AD321EE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3.</w:t>
      </w:r>
    </w:p>
    <w:p w14:paraId="2B8EEF24" w14:textId="700B83E9" w:rsidR="00B73B86" w:rsidRPr="00275A75" w:rsidRDefault="00B73B86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>Utvrđeni proračunski manjak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 iz članka 2. </w:t>
      </w:r>
      <w:r w:rsidR="004D1CE0" w:rsidRPr="00275A75">
        <w:rPr>
          <w:rFonts w:eastAsia="Times New Roman" w:cstheme="minorHAnsi"/>
          <w:color w:val="000000"/>
          <w:lang w:eastAsia="hr-HR"/>
        </w:rPr>
        <w:t xml:space="preserve">ove Odluke 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pokrit će se u narednom razdoblju prema </w:t>
      </w:r>
      <w:r w:rsidR="004D1CE0" w:rsidRPr="00275A75">
        <w:rPr>
          <w:rFonts w:eastAsia="Times New Roman" w:cstheme="minorHAnsi"/>
          <w:color w:val="000000"/>
          <w:lang w:eastAsia="hr-HR"/>
        </w:rPr>
        <w:t>slijedećoj dinamici</w:t>
      </w:r>
      <w:r w:rsidR="004B4FBF" w:rsidRPr="004B4FBF">
        <w:rPr>
          <w:rFonts w:eastAsia="Times New Roman" w:cstheme="minorHAnsi"/>
          <w:color w:val="000000"/>
          <w:lang w:eastAsia="hr-HR"/>
        </w:rPr>
        <w:t>:</w:t>
      </w:r>
    </w:p>
    <w:p w14:paraId="00801579" w14:textId="181F88AE" w:rsidR="004B4FBF" w:rsidRPr="004B4FBF" w:rsidRDefault="00B73B86" w:rsidP="00BC6F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 </w:t>
      </w:r>
      <w:r w:rsidRPr="00275A75">
        <w:rPr>
          <w:rFonts w:eastAsia="Times New Roman" w:cstheme="minorHAnsi"/>
          <w:color w:val="000000"/>
          <w:lang w:eastAsia="hr-HR"/>
        </w:rPr>
        <w:tab/>
        <w:t>- 202</w:t>
      </w:r>
      <w:r w:rsidR="00E32B91">
        <w:rPr>
          <w:rFonts w:eastAsia="Times New Roman" w:cstheme="minorHAnsi"/>
          <w:color w:val="000000"/>
          <w:lang w:eastAsia="hr-HR"/>
        </w:rPr>
        <w:t>3</w:t>
      </w:r>
      <w:r w:rsidRPr="00275A75">
        <w:rPr>
          <w:rFonts w:eastAsia="Times New Roman" w:cstheme="minorHAnsi"/>
          <w:color w:val="000000"/>
          <w:lang w:eastAsia="hr-HR"/>
        </w:rPr>
        <w:t xml:space="preserve">. 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godine iznos od </w:t>
      </w:r>
      <w:r w:rsidR="00E32B91">
        <w:rPr>
          <w:rFonts w:eastAsia="Times New Roman" w:cstheme="minorHAnsi"/>
          <w:color w:val="000000"/>
          <w:lang w:eastAsia="hr-HR"/>
        </w:rPr>
        <w:t>132.722,81 EUR</w:t>
      </w:r>
      <w:r w:rsidR="004B4FBF" w:rsidRPr="004B4FBF">
        <w:rPr>
          <w:rFonts w:eastAsia="Times New Roman" w:cstheme="minorHAnsi"/>
          <w:color w:val="000000"/>
          <w:lang w:eastAsia="hr-HR"/>
        </w:rPr>
        <w:t>,</w:t>
      </w:r>
    </w:p>
    <w:p w14:paraId="4CC46DBE" w14:textId="668FE1FF" w:rsidR="004B4FBF" w:rsidRPr="004B4FBF" w:rsidRDefault="00B73B86" w:rsidP="00BC6F0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202</w:t>
      </w:r>
      <w:r w:rsidR="00E32B91">
        <w:rPr>
          <w:rFonts w:eastAsia="Times New Roman" w:cstheme="minorHAnsi"/>
          <w:color w:val="000000"/>
          <w:lang w:eastAsia="hr-HR"/>
        </w:rPr>
        <w:t>4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. </w:t>
      </w:r>
      <w:r w:rsidR="005F1BBD" w:rsidRPr="004B4FBF">
        <w:rPr>
          <w:rFonts w:eastAsia="Times New Roman" w:cstheme="minorHAnsi"/>
          <w:color w:val="000000"/>
          <w:lang w:eastAsia="hr-HR"/>
        </w:rPr>
        <w:t xml:space="preserve">godine iznos od </w:t>
      </w:r>
      <w:r w:rsidR="005F1BBD">
        <w:rPr>
          <w:rFonts w:eastAsia="Times New Roman" w:cstheme="minorHAnsi"/>
          <w:color w:val="000000"/>
          <w:lang w:eastAsia="hr-HR"/>
        </w:rPr>
        <w:t>132.722,81 EUR</w:t>
      </w:r>
      <w:r w:rsidR="00045DEC">
        <w:rPr>
          <w:rFonts w:eastAsia="Times New Roman" w:cstheme="minorHAnsi"/>
          <w:color w:val="000000"/>
          <w:lang w:eastAsia="hr-HR"/>
        </w:rPr>
        <w:t xml:space="preserve">, </w:t>
      </w:r>
    </w:p>
    <w:p w14:paraId="26B2E100" w14:textId="6E2DAF57" w:rsidR="004B4FBF" w:rsidRDefault="00B73B86" w:rsidP="00BC6F0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202</w:t>
      </w:r>
      <w:r w:rsidR="00E32B91">
        <w:rPr>
          <w:rFonts w:eastAsia="Times New Roman" w:cstheme="minorHAnsi"/>
          <w:color w:val="000000"/>
          <w:lang w:eastAsia="hr-HR"/>
        </w:rPr>
        <w:t>5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. </w:t>
      </w:r>
      <w:r w:rsidR="005F1BBD" w:rsidRPr="004B4FBF">
        <w:rPr>
          <w:rFonts w:eastAsia="Times New Roman" w:cstheme="minorHAnsi"/>
          <w:color w:val="000000"/>
          <w:lang w:eastAsia="hr-HR"/>
        </w:rPr>
        <w:t xml:space="preserve">godine iznos od </w:t>
      </w:r>
      <w:r w:rsidR="00BD48C6">
        <w:rPr>
          <w:rFonts w:eastAsia="Times New Roman" w:cstheme="minorHAnsi"/>
          <w:color w:val="000000"/>
          <w:lang w:eastAsia="hr-HR"/>
        </w:rPr>
        <w:t xml:space="preserve">132.722,81 </w:t>
      </w:r>
      <w:r w:rsidR="005F1BBD">
        <w:rPr>
          <w:rFonts w:eastAsia="Times New Roman" w:cstheme="minorHAnsi"/>
          <w:color w:val="000000"/>
          <w:lang w:eastAsia="hr-HR"/>
        </w:rPr>
        <w:t>EUR</w:t>
      </w:r>
      <w:r w:rsidR="00CC0D66">
        <w:rPr>
          <w:rFonts w:eastAsia="Times New Roman" w:cstheme="minorHAnsi"/>
          <w:color w:val="000000"/>
          <w:lang w:eastAsia="hr-HR"/>
        </w:rPr>
        <w:t>,</w:t>
      </w:r>
    </w:p>
    <w:p w14:paraId="1A9F1652" w14:textId="0564C10E" w:rsidR="005F1BBD" w:rsidRPr="004B4FBF" w:rsidRDefault="005F1BBD" w:rsidP="00BC6F0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- 2026.</w:t>
      </w:r>
      <w:r w:rsidRPr="005F1BBD">
        <w:rPr>
          <w:rFonts w:eastAsia="Times New Roman" w:cstheme="minorHAnsi"/>
          <w:color w:val="000000"/>
          <w:lang w:eastAsia="hr-HR"/>
        </w:rPr>
        <w:t xml:space="preserve"> </w:t>
      </w:r>
      <w:r w:rsidRPr="004B4FBF">
        <w:rPr>
          <w:rFonts w:eastAsia="Times New Roman" w:cstheme="minorHAnsi"/>
          <w:color w:val="000000"/>
          <w:lang w:eastAsia="hr-HR"/>
        </w:rPr>
        <w:t>godine iznos od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="00BD48C6">
        <w:rPr>
          <w:rFonts w:eastAsia="Times New Roman" w:cstheme="minorHAnsi"/>
          <w:color w:val="000000"/>
          <w:lang w:eastAsia="hr-HR"/>
        </w:rPr>
        <w:t>12.498,16</w:t>
      </w:r>
      <w:r w:rsidR="00CC0D66">
        <w:rPr>
          <w:rFonts w:eastAsia="Times New Roman" w:cstheme="minorHAnsi"/>
          <w:color w:val="000000"/>
          <w:lang w:eastAsia="hr-HR"/>
        </w:rPr>
        <w:t xml:space="preserve"> EUR.</w:t>
      </w:r>
    </w:p>
    <w:p w14:paraId="376E8D2D" w14:textId="3AC772D2" w:rsidR="004B4FBF" w:rsidRPr="00275A75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4.</w:t>
      </w:r>
    </w:p>
    <w:p w14:paraId="272AB876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U cilju realizacije pokrića manjka prihoda i primitaka iz članka 2. ove Odluke utvrđuju se slijedeće mjere:</w:t>
      </w:r>
    </w:p>
    <w:p w14:paraId="7771D5BA" w14:textId="77777777" w:rsidR="00BC6F08" w:rsidRPr="00275A75" w:rsidRDefault="00BC6F08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Financijskim planovima te izmjenama i dopunama planirati pokriće manjka</w:t>
      </w:r>
    </w:p>
    <w:p w14:paraId="0EEEBBA5" w14:textId="48909429" w:rsidR="004B4FBF" w:rsidRPr="004B4FBF" w:rsidRDefault="00BC6F08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Kod planiranja i izvršavanja Proračuna prioritet imaju zakonske i ugovorne obveze</w:t>
      </w:r>
    </w:p>
    <w:p w14:paraId="77A16E9F" w14:textId="08AD9E6B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lastRenderedPageBreak/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Praćenje naplate prihoda i preuzimanje obveza u skladu s njihovim ostvarenjem</w:t>
      </w:r>
    </w:p>
    <w:p w14:paraId="071DC71F" w14:textId="0D8E557A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Pravovremeno poduzimanje mjera za naplatu potraživanja</w:t>
      </w:r>
    </w:p>
    <w:p w14:paraId="1C6C9F65" w14:textId="2BC09C87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Povećanje financiranja proračunskih projekata i aktivnosti iz tekućih i kapitalnih pomoći</w:t>
      </w:r>
    </w:p>
    <w:p w14:paraId="0E2BA2D6" w14:textId="63EEA87F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Poboljšanje uvjeta za razvoj poduzetništva</w:t>
      </w:r>
    </w:p>
    <w:p w14:paraId="3B12A79C" w14:textId="5BA04459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Smanjenje materijalnih rashoda uz zadržavanje kvalitete rada i pružanja usluga građanima</w:t>
      </w:r>
    </w:p>
    <w:p w14:paraId="18963B99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5.</w:t>
      </w:r>
    </w:p>
    <w:p w14:paraId="56792E67" w14:textId="13BB537B" w:rsidR="004B4FBF" w:rsidRPr="00275A75" w:rsidRDefault="00B73B86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Analiza i ocjena postojećeg </w:t>
      </w:r>
      <w:r w:rsidR="00ED08CC" w:rsidRPr="00275A75">
        <w:rPr>
          <w:rFonts w:eastAsia="Times New Roman" w:cstheme="minorHAnsi"/>
          <w:color w:val="000000"/>
          <w:lang w:eastAsia="hr-HR"/>
        </w:rPr>
        <w:t xml:space="preserve">financijskog </w:t>
      </w:r>
      <w:r w:rsidRPr="00275A75">
        <w:rPr>
          <w:rFonts w:eastAsia="Times New Roman" w:cstheme="minorHAnsi"/>
          <w:color w:val="000000"/>
          <w:lang w:eastAsia="hr-HR"/>
        </w:rPr>
        <w:t>stanja</w:t>
      </w:r>
      <w:r w:rsidR="00ED08CC" w:rsidRPr="00275A75">
        <w:rPr>
          <w:rFonts w:eastAsia="Times New Roman" w:cstheme="minorHAnsi"/>
          <w:color w:val="000000"/>
          <w:lang w:eastAsia="hr-HR"/>
        </w:rPr>
        <w:t xml:space="preserve"> s prijedlogom mjera</w:t>
      </w:r>
      <w:r w:rsidR="00BC6F08" w:rsidRPr="00275A75">
        <w:rPr>
          <w:rFonts w:eastAsia="Times New Roman" w:cstheme="minorHAnsi"/>
          <w:color w:val="000000"/>
          <w:lang w:eastAsia="hr-HR"/>
        </w:rPr>
        <w:t xml:space="preserve"> za otklanjanje uzroka negativnog poslovanja i mjera za stabilno poslovanje, te Akcijski plan provedbe navedenih mjera čine prilog ove odluke i njezin su sastavni dio.</w:t>
      </w:r>
    </w:p>
    <w:p w14:paraId="19A7284D" w14:textId="064B59A9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Članak </w:t>
      </w:r>
      <w:r w:rsidR="00275A75" w:rsidRPr="00275A75">
        <w:rPr>
          <w:rFonts w:eastAsia="Times New Roman" w:cstheme="minorHAnsi"/>
          <w:color w:val="000000"/>
          <w:lang w:eastAsia="hr-HR"/>
        </w:rPr>
        <w:t>6</w:t>
      </w:r>
      <w:r w:rsidRPr="004B4FBF">
        <w:rPr>
          <w:rFonts w:eastAsia="Times New Roman" w:cstheme="minorHAnsi"/>
          <w:color w:val="000000"/>
          <w:lang w:eastAsia="hr-HR"/>
        </w:rPr>
        <w:t>.</w:t>
      </w:r>
    </w:p>
    <w:p w14:paraId="3CC1C4B3" w14:textId="03D4D912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Odluka o sukcesivnom pokriću manjka iz prethodnih godina stupa na snagu osmog dana od dana objave u Službenim </w:t>
      </w:r>
      <w:r w:rsidR="00BC6F08" w:rsidRPr="00275A75">
        <w:rPr>
          <w:rFonts w:eastAsia="Times New Roman" w:cstheme="minorHAnsi"/>
          <w:color w:val="000000"/>
          <w:lang w:eastAsia="hr-HR"/>
        </w:rPr>
        <w:t>vjesniku Grada Čazme</w:t>
      </w:r>
      <w:r w:rsidR="005F1BBD">
        <w:rPr>
          <w:rFonts w:eastAsia="Times New Roman" w:cstheme="minorHAnsi"/>
          <w:color w:val="000000"/>
          <w:lang w:eastAsia="hr-HR"/>
        </w:rPr>
        <w:t>, a primjenjuje se od 1. siječnja 202</w:t>
      </w:r>
      <w:r w:rsidR="00BD48C6">
        <w:rPr>
          <w:rFonts w:eastAsia="Times New Roman" w:cstheme="minorHAnsi"/>
          <w:color w:val="000000"/>
          <w:lang w:eastAsia="hr-HR"/>
        </w:rPr>
        <w:t>5</w:t>
      </w:r>
      <w:r w:rsidR="005F1BBD">
        <w:rPr>
          <w:rFonts w:eastAsia="Times New Roman" w:cstheme="minorHAnsi"/>
          <w:color w:val="000000"/>
          <w:lang w:eastAsia="hr-HR"/>
        </w:rPr>
        <w:t>.</w:t>
      </w:r>
      <w:r w:rsidR="00212C90">
        <w:rPr>
          <w:rFonts w:eastAsia="Times New Roman" w:cstheme="minorHAnsi"/>
          <w:color w:val="000000"/>
          <w:lang w:eastAsia="hr-HR"/>
        </w:rPr>
        <w:t xml:space="preserve"> godine</w:t>
      </w:r>
    </w:p>
    <w:p w14:paraId="7B7EC1A2" w14:textId="77777777" w:rsidR="000B310F" w:rsidRDefault="000B310F" w:rsidP="00275A75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outlineLvl w:val="3"/>
        <w:rPr>
          <w:rFonts w:eastAsia="Times New Roman" w:cstheme="minorHAnsi"/>
          <w:color w:val="000000"/>
          <w:lang w:eastAsia="hr-HR"/>
        </w:rPr>
      </w:pPr>
    </w:p>
    <w:p w14:paraId="1E923CC5" w14:textId="5A5B4BFB" w:rsidR="004B4FBF" w:rsidRPr="004B4FBF" w:rsidRDefault="004B4FBF" w:rsidP="00275A75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outlineLvl w:val="3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GRADSKO VIJEĆE GRADA </w:t>
      </w:r>
      <w:r w:rsidR="00275A75" w:rsidRPr="00275A75">
        <w:rPr>
          <w:rFonts w:eastAsia="Times New Roman" w:cstheme="minorHAnsi"/>
          <w:color w:val="000000"/>
          <w:lang w:eastAsia="hr-HR"/>
        </w:rPr>
        <w:t>ČAZME</w:t>
      </w:r>
    </w:p>
    <w:p w14:paraId="6B32014B" w14:textId="77777777" w:rsidR="004B4FBF" w:rsidRPr="004B4FBF" w:rsidRDefault="004B4FBF" w:rsidP="00275A75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outlineLvl w:val="3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PREDSJEDNIK</w:t>
      </w:r>
    </w:p>
    <w:p w14:paraId="78688F22" w14:textId="0F80C6E7" w:rsidR="004B4FBF" w:rsidRPr="004B4FBF" w:rsidRDefault="00275A75" w:rsidP="00275A75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outlineLvl w:val="3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Branko Novković, </w:t>
      </w:r>
      <w:proofErr w:type="spellStart"/>
      <w:r w:rsidRPr="00275A75">
        <w:rPr>
          <w:rFonts w:eastAsia="Times New Roman" w:cstheme="minorHAnsi"/>
          <w:color w:val="000000"/>
          <w:lang w:eastAsia="hr-HR"/>
        </w:rPr>
        <w:t>mag.med.techn</w:t>
      </w:r>
      <w:proofErr w:type="spellEnd"/>
      <w:r w:rsidR="004B4FBF" w:rsidRPr="004B4FBF">
        <w:rPr>
          <w:rFonts w:eastAsia="Times New Roman" w:cstheme="minorHAnsi"/>
          <w:color w:val="000000"/>
          <w:lang w:eastAsia="hr-HR"/>
        </w:rPr>
        <w:t>.</w:t>
      </w:r>
    </w:p>
    <w:p w14:paraId="17C761AB" w14:textId="549594A9" w:rsidR="00AF6CF7" w:rsidRPr="00275A75" w:rsidRDefault="00AF6CF7" w:rsidP="004B4FBF">
      <w:pPr>
        <w:jc w:val="both"/>
        <w:rPr>
          <w:rFonts w:cstheme="minorHAnsi"/>
        </w:rPr>
      </w:pPr>
    </w:p>
    <w:sectPr w:rsidR="00AF6CF7" w:rsidRPr="0027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3A"/>
    <w:rsid w:val="00045DEC"/>
    <w:rsid w:val="000B310F"/>
    <w:rsid w:val="001B0998"/>
    <w:rsid w:val="00212C90"/>
    <w:rsid w:val="00275A75"/>
    <w:rsid w:val="00440FBF"/>
    <w:rsid w:val="004B4FBF"/>
    <w:rsid w:val="004D1CE0"/>
    <w:rsid w:val="005D74D7"/>
    <w:rsid w:val="005F1BBD"/>
    <w:rsid w:val="005F2394"/>
    <w:rsid w:val="00632623"/>
    <w:rsid w:val="0075472B"/>
    <w:rsid w:val="00925D8B"/>
    <w:rsid w:val="009C253A"/>
    <w:rsid w:val="00A30D27"/>
    <w:rsid w:val="00AC578A"/>
    <w:rsid w:val="00AF6CF7"/>
    <w:rsid w:val="00B73B86"/>
    <w:rsid w:val="00BC6F08"/>
    <w:rsid w:val="00BD48C6"/>
    <w:rsid w:val="00CC0D66"/>
    <w:rsid w:val="00CF55AD"/>
    <w:rsid w:val="00E2404C"/>
    <w:rsid w:val="00E32B91"/>
    <w:rsid w:val="00E43605"/>
    <w:rsid w:val="00E711EB"/>
    <w:rsid w:val="00E83042"/>
    <w:rsid w:val="00E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2F7"/>
  <w15:chartTrackingRefBased/>
  <w15:docId w15:val="{E6479E82-813C-4350-9AC1-60795C6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3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3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4B4F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31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4B4FB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odluka">
    <w:name w:val="odluka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clanak">
    <w:name w:val="sluzbeni_clanak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klasa">
    <w:name w:val="sluzbeni_klasa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B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3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310F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Čazma</dc:creator>
  <cp:keywords/>
  <dc:description/>
  <cp:lastModifiedBy>Mario Ivanović</cp:lastModifiedBy>
  <cp:revision>13</cp:revision>
  <cp:lastPrinted>2024-12-17T07:01:00Z</cp:lastPrinted>
  <dcterms:created xsi:type="dcterms:W3CDTF">2022-12-06T10:36:00Z</dcterms:created>
  <dcterms:modified xsi:type="dcterms:W3CDTF">2024-12-17T07:02:00Z</dcterms:modified>
</cp:coreProperties>
</file>